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160"/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143000" cy="116800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blem_inspec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680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88"/>
          </w:tcPr>
          <w:p>
            <w:pPr>
              <w:spacing w:before="40" w:after="40"/>
              <w:jc w:val="left"/>
            </w:pPr>
            <w:r>
              <w:rPr>
                <w:rFonts w:ascii="Segoe UI" w:hAnsi="Segoe UI"/>
                <w:b/>
                <w:color w:val="0B2545"/>
                <w:sz w:val="32"/>
              </w:rPr>
              <w:t>PT CIPTA OPTIMA PERSADA</w:t>
              <w:br/>
            </w:r>
            <w:r>
              <w:rPr>
                <w:rFonts w:ascii="Segoe UI" w:hAnsi="Segoe UI"/>
                <w:b/>
                <w:color w:val="00A8E8"/>
                <w:sz w:val="22"/>
              </w:rPr>
              <w:t>PANDUAN STRATEGIS PROTEKSI ASET HKI, MEREK DAGANG &amp; DOMAIN RESMI</w:t>
              <w:br/>
            </w:r>
            <w:r>
              <w:rPr>
                <w:rFonts w:ascii="Segoe UI" w:hAnsi="Segoe UI"/>
                <w:color w:val="475569"/>
                <w:sz w:val="17"/>
              </w:rPr>
              <w:t>Alamat Kantor: Jl. Renang No.90, Tasikmadu, Lowokwaru, Kota Malang 65143 | NIB: 2309240059345</w:t>
              <w:br/>
              <w:t>Situs Resmi: copersada.com | Email Korporat: corporate@copersada.com</w:t>
            </w:r>
          </w:p>
        </w:tc>
      </w:tr>
    </w:tbl>
    <w:p>
      <w:pPr>
        <w:spacing w:before="120" w:after="320"/>
      </w:pPr>
      <w:r>
        <w:rPr>
          <w:b/>
          <w:color w:val="00A8E8"/>
        </w:rPr>
        <w:t>――――――――――――――――――――――――――――――――――――――――――――――――――――――――――</w:t>
      </w:r>
    </w:p>
    <w:p>
      <w:r>
        <w:rPr>
          <w:rFonts w:ascii="Segoe UI" w:hAnsi="Segoe UI"/>
          <w:b/>
          <w:color w:val="0B2545"/>
          <w:sz w:val="26"/>
        </w:rPr>
        <w:t>1. Ringkasan Eksekutif &amp; Urgensi Pemisahan Perlindungan</w:t>
      </w:r>
    </w:p>
    <w:p>
      <w:pPr>
        <w:spacing w:before="80" w:after="160" w:line="276" w:lineRule="auto"/>
      </w:pPr>
      <w:r>
        <w:rPr>
          <w:rFonts w:ascii="Segoe UI" w:hAnsi="Segoe UI"/>
          <w:color w:val="1E293B"/>
          <w:sz w:val="20"/>
        </w:rPr>
        <w:t>Pengesahan badan hukum di Ditjen AHU Kemenkumham dan kepemilikan NIB OSS hanya melindungi nama perseroan secara administratif badan usaha. Hak merek dagang dan jasa (UU No. 20/2016) tunduk pada prinsip First-to-File di Ditjen KI (DJKI), sehingga pendaftaran merek induk 'COPERSADA' dan pengamanan domain berbadan hukum '.co.id' melalui PANDI bersifat mutlak untuk mencegah penyerobotan merek dan phishing.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160"/>
            <w:shd w:fill="0B2545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Aspek Perlindungan</w:t>
            </w:r>
          </w:p>
        </w:tc>
        <w:tc>
          <w:tcPr>
            <w:tcW w:type="dxa" w:w="1872"/>
            <w:shd w:fill="0B2545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Regulator</w:t>
            </w:r>
          </w:p>
        </w:tc>
        <w:tc>
          <w:tcPr>
            <w:tcW w:type="dxa" w:w="2016"/>
            <w:shd w:fill="0B2545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Dasar Hukum</w:t>
            </w:r>
          </w:p>
        </w:tc>
        <w:tc>
          <w:tcPr>
            <w:tcW w:type="dxa" w:w="3600"/>
            <w:shd w:fill="0B2545"/>
            <w:tcMar>
              <w:top w:w="140" w:type="dxa"/>
              <w:bottom w:w="14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Ruang Lingkup &amp; Keterbatasan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0B2545"/>
                <w:sz w:val="17"/>
              </w:rPr>
              <w:t>Nama PT (AHU)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Ditjen AHU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UU 40/2007 jo. UU Cipta Kerja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Hanya mencegah pendirian PT dengan nama sama persis di Ditjen AHU. Tidak melindungi barang/jasa komersial.</w:t>
            </w:r>
          </w:p>
        </w:tc>
      </w:tr>
      <w:tr>
        <w:tc>
          <w:tcPr>
            <w:tcW w:type="dxa" w:w="216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0B2545"/>
                <w:sz w:val="17"/>
              </w:rPr>
              <w:t>Merek Dagang (DJKI)</w:t>
            </w:r>
          </w:p>
        </w:tc>
        <w:tc>
          <w:tcPr>
            <w:tcW w:type="dxa" w:w="1872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Ditjen KI Kemenkumham</w:t>
            </w:r>
          </w:p>
        </w:tc>
        <w:tc>
          <w:tcPr>
            <w:tcW w:type="dxa" w:w="2016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UU No. 20 Tahun 2016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Melindungi nama dagang, logo, &amp; suara komersial secara eksklusif. Mencegah peniruan pada kelas barang/jasa.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0B2545"/>
                <w:sz w:val="17"/>
              </w:rPr>
              <w:t>Hak Cipta Logo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Ditjen KI (e-Hakcipta)</w:t>
            </w:r>
          </w:p>
        </w:tc>
        <w:tc>
          <w:tcPr>
            <w:tcW w:type="dxa" w:w="2016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UU No. 28 Tahun 2014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Melindungi estetika seni gambar logo dari plagiarisme. Sertifikat terbit instan (&lt; 1 hari).</w:t>
            </w:r>
          </w:p>
        </w:tc>
      </w:tr>
      <w:tr>
        <w:tc>
          <w:tcPr>
            <w:tcW w:type="dxa" w:w="216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b/>
                <w:color w:val="0B2545"/>
                <w:sz w:val="17"/>
              </w:rPr>
              <w:t>Domain Resmi (.co.id)</w:t>
            </w:r>
          </w:p>
        </w:tc>
        <w:tc>
          <w:tcPr>
            <w:tcW w:type="dxa" w:w="1872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PANDI</w:t>
            </w:r>
          </w:p>
        </w:tc>
        <w:tc>
          <w:tcPr>
            <w:tcW w:type="dxa" w:w="2016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PP No. 71 Tahun 2019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rFonts w:ascii="Segoe UI" w:hAnsi="Segoe UI"/>
                <w:color w:val="1E293B"/>
                <w:sz w:val="17"/>
              </w:rPr>
              <w:t>Hanya diterbitkan bagi PT berbadan hukum terverifikasi. Legal standing mutlak atas sengketa nama siber.</w:t>
            </w:r>
          </w:p>
        </w:tc>
      </w:tr>
    </w:tbl>
    <w:p>
      <w:pPr>
        <w:spacing w:after="160"/>
      </w:pPr>
    </w:p>
    <w:p>
      <w:r>
        <w:rPr>
          <w:rFonts w:ascii="Segoe UI" w:hAnsi="Segoe UI"/>
          <w:b/>
          <w:color w:val="0B2545"/>
          <w:sz w:val="26"/>
        </w:rPr>
        <w:t>2. Strategi Arsitektur Brand (Master Brand) &amp; Merek Kombinasi</w:t>
      </w:r>
    </w:p>
    <w:p>
      <w:pPr>
        <w:spacing w:before="80" w:after="120" w:line="276" w:lineRule="auto"/>
      </w:pPr>
      <w:r>
        <w:rPr>
          <w:rFonts w:ascii="Segoe UI" w:hAnsi="Segoe UI"/>
          <w:color w:val="1E293B"/>
          <w:sz w:val="20"/>
        </w:rPr>
        <w:t>Perusahaan tidak perlu mendaftarkan ke-7 unit bisnis secara mandiri. Gunakan strategi Branded House / Master Brand: cukup mendaftarkan 1 Merek Induk 'COPERSADA' (Emblem Logo COP + Kata COPERSADA) pada kelas-kelas Nice yang tepat. Kata-kata sub-divisi seperti 'PRESS', 'ACADEMY', 'IOT', dan 'TECH' adalah kata generik penjelas jenis usaha di mata hukum. Selama merek induk didaftarkan pada Kelas 16 (Buku Cetak) dan Kelas 41 (Penerbitan/Pelatihan), divisi COPERSADA PRESS sudah terlindungi 100% dari peniruan.</w:t>
      </w:r>
    </w:p>
    <w:p>
      <w:r>
        <w:rPr>
          <w:rFonts w:ascii="Segoe UI" w:hAnsi="Segoe UI"/>
          <w:b/>
          <w:color w:val="0B2545"/>
          <w:sz w:val="26"/>
        </w:rPr>
        <w:t>3. Pemetaan Kelas Nice &amp; Analisis Produk Alat Kontrol Bioflok</w:t>
      </w:r>
    </w:p>
    <w:p>
      <w:pPr>
        <w:spacing w:before="80" w:after="120"/>
      </w:pPr>
      <w:r>
        <w:rPr>
          <w:rFonts w:ascii="Segoe UI" w:hAnsi="Segoe UI"/>
          <w:color w:val="1E293B"/>
          <w:sz w:val="20"/>
        </w:rPr>
        <w:t>Biaya PNBP di DJKI dihitung linier per kelas (Tarif UMK Rp 500.000,- / kelas). Jika di masa depan PT memproduksi 'Alat Kontrol Kolam Bioflok' (Smart Aquaculture Automation), berikut kelas yang relevan: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728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Kelas Nice</w:t>
            </w:r>
          </w:p>
        </w:tc>
        <w:tc>
          <w:tcPr>
            <w:tcW w:type="dxa" w:w="3600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Kategori &amp; Ruang Lingkup</w:t>
            </w:r>
          </w:p>
        </w:tc>
        <w:tc>
          <w:tcPr>
            <w:tcW w:type="dxa" w:w="4320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Peruntukan pada Sistem Kolam Bioflok</w:t>
            </w:r>
          </w:p>
        </w:tc>
      </w:tr>
      <w:tr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Kelas 09</w:t>
              <w:br/>
              <w:t>(WAJIB UTAMA)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Barang Elektronika, Sensor, Alat Ukur, &amp; Panel Otomasi</w:t>
            </w:r>
          </w:p>
        </w:tc>
        <w:tc>
          <w:tcPr>
            <w:tcW w:type="dxa" w:w="432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Boks panel kontrol otomatisasi kolam, sensor DO (oksigen terlarut), sensor pH, sensor suhu, modul LoRa/WiFi/GSM, microcontroller board.</w:t>
            </w:r>
          </w:p>
        </w:tc>
      </w:tr>
      <w:tr>
        <w:tc>
          <w:tcPr>
            <w:tcW w:type="dxa" w:w="1728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Kelas 42</w:t>
              <w:br/>
              <w:t>(WAJIB UTAMA)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Jasa IT, Cloud Computing, &amp; Dashboard Monitoring</w:t>
            </w:r>
          </w:p>
        </w:tc>
        <w:tc>
          <w:tcPr>
            <w:tcW w:type="dxa" w:w="432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Platform web &amp; mobile apps pemantauan grafik bioflok jarak jauh (IoT SaaS), server pengolah data telemetri.</w:t>
            </w:r>
          </w:p>
        </w:tc>
      </w:tr>
      <w:tr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Kelas 07</w:t>
              <w:br/>
              <w:t>(Opsional / Menyusul)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Mesin Mekanik, Pompa &amp; Penggerak</w:t>
            </w:r>
          </w:p>
        </w:tc>
        <w:tc>
          <w:tcPr>
            <w:tcW w:type="dxa" w:w="432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Mesin pelontar pakan otomatis (auto-feeder), mesin blower aerasi kolam (Ring/Roots blower), pompa sirkulasi air mekanik.</w:t>
            </w:r>
          </w:p>
        </w:tc>
      </w:tr>
      <w:tr>
        <w:tc>
          <w:tcPr>
            <w:tcW w:type="dxa" w:w="1728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Kelas 11</w:t>
              <w:br/>
              <w:t>(Opsional)</w:t>
            </w:r>
          </w:p>
        </w:tc>
        <w:tc>
          <w:tcPr>
            <w:tcW w:type="dxa" w:w="360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Aparatus Filtrasi &amp; Pengolahan Air</w:t>
            </w:r>
          </w:p>
        </w:tc>
        <w:tc>
          <w:tcPr>
            <w:tcW w:type="dxa" w:w="432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Tabung biofilter air kolam intensif (RAS), lampu ultraviolet (UV) sterilisasi patogen, aerasi fine bubble diffuser.</w:t>
            </w:r>
          </w:p>
        </w:tc>
      </w:tr>
      <w:tr>
        <w:tc>
          <w:tcPr>
            <w:tcW w:type="dxa" w:w="172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Kelas 44</w:t>
              <w:br/>
              <w:t>(Opsional)</w:t>
            </w:r>
          </w:p>
        </w:tc>
        <w:tc>
          <w:tcPr>
            <w:tcW w:type="dxa" w:w="360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Jasa Konsultasi Pertanian &amp; Akuakultur</w:t>
            </w:r>
          </w:p>
        </w:tc>
        <w:tc>
          <w:tcPr>
            <w:tcW w:type="dxa" w:w="432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Jasa pendampingan budidaya bioflok modern, audit kualitas air tambak, bimbingan teknis petambak.</w:t>
            </w:r>
          </w:p>
        </w:tc>
      </w:tr>
    </w:tbl>
    <w:p>
      <w:pPr>
        <w:spacing w:after="160"/>
      </w:pPr>
    </w:p>
    <w:p>
      <w:r>
        <w:rPr>
          <w:rFonts w:ascii="Segoe UI" w:hAnsi="Segoe UI"/>
          <w:b/>
          <w:color w:val="0B2545"/>
          <w:sz w:val="26"/>
        </w:rPr>
        <w:t>4. Strategi Pengamanan Kelas Terintegrasi Website (Anti-Gugatan Non-Use)</w:t>
      </w:r>
    </w:p>
    <w:p>
      <w:pPr>
        <w:spacing w:before="80" w:after="120" w:line="276" w:lineRule="auto"/>
      </w:pPr>
      <w:r>
        <w:rPr>
          <w:rFonts w:ascii="Segoe UI" w:hAnsi="Segoe UI"/>
          <w:color w:val="1E293B"/>
          <w:sz w:val="19"/>
        </w:rPr>
        <w:t>Berdasarkan Pasal 74 UU Merek, pihak ketiga hanya bisa menggugat hapus kelas tertentu (penghapusan parsial) jika kelas tersebut tidak digunakan secara komersial selama 3 tahun berturut-turut. Untuk membuat seluruh kelas kebal mutlak tanpa menunggu stok gudang ribuan unit, terapkan strategi digital berikut di situs resmi copersada.com:</w:t>
        <w:br/>
        <w:t>1. Tampilkan showcase produk tiap kelas (misal: 'COPERSADA Smart Biofloc IoT Controller v1.0') dengan status 'Tersedia / Made-to-Order'.</w:t>
        <w:br/>
        <w:t>2. Sediakan tombol 'Minta Penawaran Resmi (RFQ)' yang mengarah ke WhatsApp Bisnis / Email perseroan.</w:t>
        <w:br/>
        <w:t>3. Unggah minimal 1 dokumen brosur spesifikasi teknis (PDF Spec Sheet) berlogo COP yang dapat diunduh bebas oleh publik.</w:t>
        <w:br/>
        <w:t>4. Catat setiap surat penawaran harga yang keluar ke dalam LogbookSurat.xlsx.</w:t>
        <w:br/>
        <w:t>Secara hukum niaga, penawaran komersial publik di situs web resmi diakui sah sebagai bukti penggunaan merek aktif, sehingga gugatan non-use dari kompetitor dipastikan MUTLAK DITOLAK oleh pengadilan.</w:t>
      </w:r>
    </w:p>
    <w:p>
      <w:r>
        <w:rPr>
          <w:rFonts w:ascii="Segoe UI" w:hAnsi="Segoe UI"/>
          <w:b/>
          <w:color w:val="0B2545"/>
          <w:sz w:val="26"/>
        </w:rPr>
        <w:t>5. Checklist Aksi Operasional Direksi &amp; Tim Teknis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872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Fase</w:t>
            </w:r>
          </w:p>
        </w:tc>
        <w:tc>
          <w:tcPr>
            <w:tcW w:type="dxa" w:w="5616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Daftar Tindakan (Action Items)</w:t>
            </w:r>
          </w:p>
        </w:tc>
        <w:tc>
          <w:tcPr>
            <w:tcW w:type="dxa" w:w="2160"/>
            <w:shd w:fill="0B2545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Segoe UI" w:hAnsi="Segoe UI"/>
                <w:b/>
                <w:color w:val="FFFFFF"/>
                <w:sz w:val="19"/>
              </w:rPr>
              <w:t>Penanggung Jawab &amp; Target</w:t>
            </w:r>
          </w:p>
        </w:tc>
      </w:tr>
      <w:tr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Fase 1:</w:t>
              <w:br/>
              <w:t>Pra-Pendaftaran</w:t>
              <w:br/>
              <w:t>(Segera)</w:t>
            </w:r>
          </w:p>
        </w:tc>
        <w:tc>
          <w:tcPr>
            <w:tcW w:type="dxa" w:w="5616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• Urus Surat Rekomendasi UMK Binaan ke Diskopindag Kota Malang (Gratis, Form 06).</w:t>
              <w:br/>
              <w:t>• Ajukan Merek Induk DJKI (Etiket_Merek_COPERSADA_Kombinasi.png) di Kelas 16, 41, 42.</w:t>
              <w:br/>
              <w:t>• Daftarkan domain resmi copersada.co.id ke Registrar PANDI (unggah 4 berkas siap).</w:t>
              <w:br/>
              <w:t>• Daftarkan Hak Cipta Desain Logo COP di e-Hakcipta DJKI (terbit sertifikat instan).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Direktur Utama</w:t>
              <w:br/>
              <w:t>(Bulan Berjalan)</w:t>
            </w:r>
          </w:p>
        </w:tc>
      </w:tr>
      <w:tr>
        <w:tc>
          <w:tcPr>
            <w:tcW w:type="dxa" w:w="1872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Fase 2:</w:t>
              <w:br/>
              <w:t>Pengamanan Web</w:t>
              <w:br/>
              <w:t>(Menengah)</w:t>
            </w:r>
          </w:p>
        </w:tc>
        <w:tc>
          <w:tcPr>
            <w:tcW w:type="dxa" w:w="5616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• Pasang showcase produk untuk tiap kelas di situs copersada.com.</w:t>
              <w:br/>
              <w:t>• Pasang tombol 'Minta Penawaran (RFQ)' &amp; tombol unduh brosur PDF resmi.</w:t>
              <w:br/>
              <w:t>• Catat seluruh nomor surat penawaran komersial di LogbookSurat.xlsx.</w:t>
              <w:br/>
              <w:t>• Simpan tangkapan layar bertanggal ke folder Bukti_Penggunaan_Komersial.</w:t>
            </w:r>
          </w:p>
        </w:tc>
        <w:tc>
          <w:tcPr>
            <w:tcW w:type="dxa" w:w="216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Tim Web &amp; Teknis</w:t>
              <w:br/>
              <w:t>(1 Bulan Pasca Daftar)</w:t>
            </w:r>
          </w:p>
        </w:tc>
      </w:tr>
      <w:tr>
        <w:tc>
          <w:tcPr>
            <w:tcW w:type="dxa" w:w="187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b/>
                <w:color w:val="0B2545"/>
                <w:sz w:val="17"/>
              </w:rPr>
              <w:t>Fase 3:</w:t>
              <w:br/>
              <w:t>Siklus Berkala</w:t>
              <w:br/>
              <w:t>(Rutin)</w:t>
            </w:r>
          </w:p>
        </w:tc>
        <w:tc>
          <w:tcPr>
            <w:tcW w:type="dxa" w:w="5616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• Tahunan: Perpanjangan domain copersada.co.id di registrar resmi (H-30 hari).</w:t>
              <w:br/>
              <w:t>• 3 Tahunan: Audit berkala pemakaian komersial aktif di seluruh kelas.</w:t>
              <w:br/>
              <w:t>• 10 Tahunan: Perpanjangan jangka waktu perlindungan merek di DJKI (H-6 bulan).</w:t>
            </w:r>
          </w:p>
        </w:tc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rFonts w:ascii="Segoe UI" w:hAnsi="Segoe UI"/>
                <w:color w:val="1E293B"/>
                <w:sz w:val="17"/>
              </w:rPr>
              <w:t>Direksi &amp; Legal</w:t>
              <w:br/>
              <w:t>(Terjadwal Kalender)</w:t>
            </w:r>
          </w:p>
        </w:tc>
      </w:tr>
    </w:tbl>
    <w:p>
      <w:pPr>
        <w:spacing w:after="280"/>
      </w:pPr>
    </w:p>
    <w:p>
      <w:pPr>
        <w:spacing w:before="240" w:after="40"/>
        <w:jc w:val="right"/>
      </w:pPr>
      <w:r>
        <w:rPr>
          <w:rFonts w:ascii="Segoe UI" w:hAnsi="Segoe UI"/>
          <w:color w:val="1E293B"/>
          <w:sz w:val="20"/>
        </w:rPr>
        <w:t>Malang, 16 Oktober 2026</w:t>
        <w:br/>
        <w:t>PT CIPTA OPTIMA PERSADA</w:t>
        <w:br/>
        <w:br/>
      </w:r>
      <w:r>
        <w:drawing>
          <wp:inline xmlns:a="http://schemas.openxmlformats.org/drawingml/2006/main" xmlns:pic="http://schemas.openxmlformats.org/drawingml/2006/picture">
            <wp:extent cx="1645920" cy="10801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TD_dan_Stempel_Rahayu_Winda_Transpar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080135"/>
                    </a:xfrm>
                    <a:prstGeom prst="rect"/>
                  </pic:spPr>
                </pic:pic>
              </a:graphicData>
            </a:graphic>
          </wp:inline>
        </w:drawing>
      </w:r>
      <w:r>
        <w:br/>
      </w:r>
      <w:r>
        <w:rPr>
          <w:rFonts w:ascii="Segoe UI" w:hAnsi="Segoe UI"/>
          <w:b/>
          <w:color w:val="0B2545"/>
          <w:sz w:val="21"/>
          <w:u w:val="single"/>
        </w:rPr>
        <w:t>RAHAYU WINDA PRESTIWATI, A.Md</w:t>
        <w:br/>
      </w:r>
      <w:r>
        <w:rPr>
          <w:rFonts w:ascii="Segoe UI" w:hAnsi="Segoe UI"/>
          <w:color w:val="475569"/>
          <w:sz w:val="19"/>
        </w:rPr>
        <w:t>Direktur Utama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